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Innova 522 P Innova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Innova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inserción Innova, especialmente adaptable, representa una óptica representativa y mejora la acústica de los espacios.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Antirresbalante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propiedad antirresbalante R 12 de acuerdo con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 especiales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Más colores seleccionables en nuestra actual colección de limpieza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ignífuga Cfl-s1 según la norma EN 1350 para el conjunto del Sistema de Alfombras de Entrada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Instalación certificada según TÜV PROFiCERT- product Interior (Standard).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Clasificación francesa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LEEDv4 (outside North America)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Reglamento belga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anexo 8,9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color frente a la luz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5 - 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ResistenciadelcoloralafricciónISO105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Resistencia al gua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buena 4 - 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ECHE ASTIM-e2149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Reducción bacteriana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83,6 %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