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mit Ripseinlage 522 LR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LR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eingelassene, widerstandsfähige, witterungsbeständige Ripsstreifen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rutschhemmende Eigenschaft R 11 nach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Braun Nr.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Hellgrau Nr.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Rot Nr.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Nr.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für Ripsfarben Hellgrau und Anthrazit nach EN 13501 in Cfl-s1 auf Wunsch lieferbar (gegen Aufpreis).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(Polypropylen)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