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con tiras de fibra textil y borde raspador 522 LRK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LRK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Tiras de fibra textil insertadas resistentes al desgaste y a la intemperie combinadas con bordes raspadores.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 claro nº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nº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 nº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nº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Arena nº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 de incendio de la instalación para colores gris claro y antracita según EN 13 501 en Cfl-s1 disponible bajo petición (con cargo adicional).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Cable de acero con revestimiento de plástico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(Polipropileno)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