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z wkładką Maximus i listwą szczotkową 517 P Maximus B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517 P Maximus 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Obciążenie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normalne i duże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Profil nośny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Wykonane z aluminium z izolacją akustyczną od spodu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Kolor profilu nośnego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Za dopłatą kolory anodowane: złoty EV3, średni brąz C33, czarny C35 lub stal nierdzewna C31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Wysokość ok.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Powierzchnia do chodzenia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elegancka wkładka Maximus o wyglądzie dywanu, wyróżniają się dzięki wysokiej jakości weluru igłowego. Dodatkowy profil zwiększa efekt czyszczący.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Standardowy odstęp między profilami ok.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rozpórka gumowa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Drzwi obrotowe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 drzwi obrotowych nasze wycieraczki dostępne z prześwitem profili 3 mm zgodnie z normą DIN EN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Kolory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Antracytowy 80.02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Brązowy 80.04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Czerwony 80.07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Czarny ze wzorem 81.01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Czarny 80.01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Szary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Czarny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Kolory specjalne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Pozostałe kolory dostępne z kolekcji mat tekstylnych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Zabezpieczenie przeciwpożarowe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Klasa trudnozapalności wkładu zgodnie z EN 13501 Bfl-s1.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Połączenie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przez linkę stalową pokrytą tworzywem sztucznym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Gwarancja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lat gwarancji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Warunki gwarancji znajdziesz pod: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Wkład z certyfikowany zgodnie z TÜV PROFiCERT - produkt wewnętrzny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Francuski przepisy dotyczący lotnych związków organicznych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(na zewnątrz Ameryka Północna)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BREAM Przykładowy poziom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Belgijski przepis dotyczący lotnych związków organicznych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Załącznik 8, 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Włókno poliamidowe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6.6 (poliamid)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Wymagana klasa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Wkładka odpowiednia do obiektu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wymiary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Szerokość wycieraczki:…………mm ( długość profilu)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Głębokość wycieraczki:…………mm ( w kierunku ruchu)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Dane BIM-owe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Dane BIM są dostępne do pobrania pod adresem https://www.emco-bau.com/pim/bim-daten-GER.zip.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49808 Lingen (Ems) Telefon: 0591/9140-500 · Faks: 0591/9140-852 e-mail: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