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Z wkładką rypsową 512 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Wykonane z aluminium z izolacją akustyczną od spodu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 profilu nośnego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dopłatą kolory anodowane: złoty EV3, średni brąz C33, czarny C35 lub stal nierdzewna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Wpuszczane, wytrzymałe, odporne na działanie czynników atmosferycznych pasma rypsu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Ochrona przeciwpoślizgowa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Właściwość antypoślizgowa R 11 wg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Antracytowy nr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Brązowy nr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Jasnoszary nr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Czerwony nr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Piaskowy nr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Wkładki rypsowe jasnoszare i antracytowe o odporności na ogień Cfl-s1 zgodnie z EN 13501 w dostępne na zamówienie (za dodatkową opłatą).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przez linkę stalową pokrytą tworzywem sztucznym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lata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Wkład z certyfikowany zgodnie z TÜV PROFiCERT - produkt wewnętrzny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Francuski przepisy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(na zewnątrz Ameryka Północna)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Przykładowy poziom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Belgijski przepis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Załącznik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Włókno poliamidowe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PP (polipropylen)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światło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ścieranie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wodę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Dane BIM-owe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Dane BIM są dostępne do pobrania pod adresem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