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inserción Innova 512 P Innova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Innova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inserción Innova, especialmente adaptable, representa una óptica representativa y mejora la acústica de los espacios.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Antirresbalante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propiedad antirresbalante R 12 de acuerdo con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Más colores seleccionables en nuestra actual colección de limpieza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ignífuga Cfl-s1 según la norma EN 1350 para el conjunto del Sistema de Alfombras de Entrada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color frente a la luz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5 - 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ResistenciadelcoloralafricciónISO105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4 - 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gua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4 - 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ECHE ASTIM-e2149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83,6 %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