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mit Einlage Conform und Kratzkante 512 P Conform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Conform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Conform-Einlage aus regenerierten Wertstoffen ist farblich perfekt auf Holz abgestimmt und vielfältig einsetzbar. Das Zusatzprofil erhöht den Reinigungseffekt.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anthrazit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Weitere Farben aus unserer aktuellen Sauberlaufkollektion wählbar.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nach EN 13501 in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Beanspruchungsklasse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Objektgeeignete Einlage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