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4.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racle Java 16 on Windows Server 2016 -->
    <w:p>
      <w:pPr>
        <w:spacing w:after="0"/>
        <w:ind w:left="120"/>
        <w:jc w:val="right"/>
      </w:pPr>
      <w:r>
        <w:drawing>
          <wp:inline distT="0" distB="0" distL="0" distR="0">
            <wp:extent cx="933450" cy="381000"/>
            <wp:effectExtent l="0" t="0" r="0" b="0"/>
            <wp:docPr id="0" name="" descr="emco Bau Logo"/>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3450" cy="381000"/>
                    </a:xfrm>
                    <a:prstGeom prst="rect">
                      <a:avLst/>
                    </a:prstGeom>
                  </pic:spPr>
                </pic:pic>
              </a:graphicData>
            </a:graphic>
          </wp:inline>
        </w:drawing>
      </w:r>
    </w:p>
    <w:p>
      <w:pPr>
        <w:spacing w:after="165"/>
        <w:ind w:left="120"/>
        <w:jc w:val="left"/>
      </w:pPr>
      <w:r>
        <w:rPr>
          <w:rFonts w:ascii="Arial" w:hAnsi="Arial"/>
          <w:b/>
          <w:i w:val="false"/>
          <w:color w:val="000000"/>
          <w:sz w:val="36"/>
        </w:rPr>
        <w:t>emco Bau</w:t>
      </w:r>
    </w:p>
    <w:p>
      <w:pPr>
        <w:spacing w:after="165"/>
        <w:ind w:left="120"/>
        <w:jc w:val="left"/>
      </w:pPr>
      <w:r>
        <w:rPr>
          <w:rFonts w:ascii="Arial" w:hAnsi="Arial"/>
          <w:b w:val="false"/>
          <w:i w:val="false"/>
          <w:color w:val="000000"/>
          <w:sz w:val="30"/>
        </w:rPr>
        <w:t>emco Schmutzfangwanne 5000 AL</w:t>
      </w:r>
    </w:p>
    <w:p>
      <w:pPr>
        <w:spacing w:after="0"/>
        <w:ind w:left="120"/>
        <w:jc w:val="left"/>
      </w:pPr>
      <w:r>
        <w:rPr>
          <w:rFonts w:ascii="Arial" w:hAnsi="Arial"/>
          <w:b w:val="false"/>
          <w:i w:val="false"/>
          <w:color w:val="000000"/>
          <w:sz w:val="21"/>
        </w:rPr>
        <w:t xml:space="preserve"> 
  </w:t>
      </w:r>
      <w:r>
        <w:br/>
      </w:r>
      <w:r>
        <w:rPr>
          <w:rFonts w:ascii="Arial" w:hAnsi="Arial"/>
          <w:b w:val="false"/>
          <w:i w:val="false"/>
          <w:color w:val="000000"/>
          <w:sz w:val="21"/>
        </w:rPr>
        <w:t xml:space="preserve"> 
  </w:t>
      </w:r>
    </w:p>
    <w:tbl>
      <w:tblPr>
        <w:tblW w:w="0" w:type="auto"/>
        <w:tblCellSpacing w:w="20" w:type="dxa"/>
        <w:tblBorders>
          <w:top w:val="none"/>
          <w:left w:val="none"/>
          <w:bottom w:val="none"/>
          <w:right w:val="none"/>
          <w:insideH w:val="none"/>
          <w:insideV w:val="none"/>
        </w:tblBorders>
      </w:tblPr>
      <w:tblGrid>
        <w:gridCol w:w="5280"/>
        <w:gridCol w:w="7634"/>
      </w:tblGrid>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Typ</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5000 AL</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Gewicht (kg/m²)</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14,2</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Materialstärke ca.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3,0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Aufbau</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Eine Schmutzfangwannenanlage kann aus einer einteiligen Wanne oder mehreren Wannen bestehen, die, in Breite und Tiefe variabel, in Modulbauweise zusammengesetzt werden. Nach optischen und funktionalen Gesichtspunkten wird die Eingangsmatte übergreifend mit Rahmen gefertigt.</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Freiheit für individuelle Gestaltung</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Trotz rechtwinkliger Form der Wannen sind einem kreativen Mattenzuschnitt keine Grenzen gesetzt. Besonders architektonisch reizvolle Eingänge verlangen nach einer harmonisch integrierten Eingangsmatte. In diesen Fällen werden die Wannen in den Bereich der größten Schmutzfrequenz gesetzt und die Eingangsmatte geht x-beliebig darüber hinaus.</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Material</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Aluminium, wasserdicht verschweißt, innen zur problemlosen Reinigung völlig glatt ausgebildet.</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Unterstützungsprofil</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Aluminium, im Abstand von max. 300 mm mit Ausnehmungen zum allseitigen Wasserablauf. Diese Profile müssen im 90° Winkel quer unter den Profilen verlaufen.</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Zusatzdaten</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Die umlaufende Abkantung als Rahmen für die Eingangsmatte entfällt. Auf Wunsch erhalten Sie zusätzlich einen Rahmen passend zur gewählten Eingangsmatte.</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Größere Abmessungen</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Mehrere Wannenteile werden vor Ort zu einem System zusammengeschraubt.</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Ausstattung</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Auf Wunsch mit einer Ablaufvorrichtung, sowie einer Wasserüberlaufverbindung bei mehreren Wannenteilen. Wir empfehlen bei mehreren Wannenteilen eine Ablaufvorrichtung pro Wannenteil.</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Ablaufvorrichtung</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Komplette Ablaufvorrichtung in den Größen DN 50, DN 70 oder DN 100 inklusive Edelstahlsieb. Standard ist eine Ablaufvorrichtung in der Größe DN 50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Wannengesamthöhe</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Standard: 70 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Optional einteilige Wanne: 45-90mm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Optional mehrteilige Wannen: 45-90mm</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max. Wannenbreite einteilig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2800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max. Wannentiefe einteilig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1300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Abmessungen</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Wannenbreite:.........................mm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Wannentiefe:.........................mm (Gehrichtung)</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Kontakt</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emco Bautechnik GmbH · Breslauer Straße 34 - 38 · 49808 Lingen (Ems) · Telefon: 0591/9140-500 · Telefax: 0591/9140-852 · e-mail: bau@emco.de · www.emco-bau.com</w:t>
            </w:r>
          </w:p>
        </w:tc>
      </w:tr>
    </w:tbl>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png" Type="http://schemas.openxmlformats.org/officeDocument/2006/relationships/image"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